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7" w:rsidRDefault="00923178" w:rsidP="00F42D37">
      <w:pPr>
        <w:jc w:val="center"/>
        <w:rPr>
          <w:sz w:val="28"/>
          <w:szCs w:val="28"/>
        </w:rPr>
      </w:pPr>
      <w:r w:rsidRPr="00EA50E4">
        <w:rPr>
          <w:sz w:val="28"/>
          <w:szCs w:val="28"/>
        </w:rPr>
        <w:t>АДМИНИСТРАЦИЯ</w:t>
      </w:r>
    </w:p>
    <w:p w:rsidR="00923178" w:rsidRPr="00EA50E4" w:rsidRDefault="00F42D37" w:rsidP="00F42D3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НАРОВАТОВСКОГО </w:t>
      </w:r>
      <w:r>
        <w:rPr>
          <w:sz w:val="28"/>
          <w:szCs w:val="28"/>
        </w:rPr>
        <w:tab/>
      </w:r>
      <w:r w:rsidR="00923178">
        <w:rPr>
          <w:sz w:val="28"/>
          <w:szCs w:val="28"/>
        </w:rPr>
        <w:t>СЕЛЬСКОГО ПОСЕЛЕНИЯ</w:t>
      </w:r>
    </w:p>
    <w:p w:rsidR="00923178" w:rsidRPr="00EA50E4" w:rsidRDefault="00923178" w:rsidP="00E94C82">
      <w:pPr>
        <w:jc w:val="center"/>
        <w:rPr>
          <w:sz w:val="28"/>
          <w:szCs w:val="28"/>
        </w:rPr>
      </w:pPr>
      <w:r w:rsidRPr="00EA50E4">
        <w:rPr>
          <w:sz w:val="28"/>
          <w:szCs w:val="28"/>
        </w:rPr>
        <w:t>ТЕНЬГУШЕВСКОГО МУНИЦИПАЛЬНОГО РАЙОНА</w:t>
      </w:r>
    </w:p>
    <w:p w:rsidR="00923178" w:rsidRPr="00EA50E4" w:rsidRDefault="00923178" w:rsidP="00E94C82">
      <w:pPr>
        <w:jc w:val="center"/>
        <w:rPr>
          <w:sz w:val="28"/>
          <w:szCs w:val="28"/>
        </w:rPr>
      </w:pPr>
      <w:r w:rsidRPr="00EA50E4">
        <w:rPr>
          <w:sz w:val="28"/>
          <w:szCs w:val="28"/>
        </w:rPr>
        <w:t>РЕСПУБЛИКИ МОРДОВИЯ</w:t>
      </w:r>
    </w:p>
    <w:p w:rsidR="00923178" w:rsidRDefault="00923178" w:rsidP="00E94C82">
      <w:pPr>
        <w:jc w:val="center"/>
      </w:pPr>
    </w:p>
    <w:p w:rsidR="00923178" w:rsidRDefault="00923178" w:rsidP="00E94C82">
      <w:pPr>
        <w:jc w:val="center"/>
      </w:pPr>
    </w:p>
    <w:p w:rsidR="00923178" w:rsidRPr="00EA50E4" w:rsidRDefault="00923178" w:rsidP="00E94C82">
      <w:pPr>
        <w:jc w:val="center"/>
        <w:rPr>
          <w:b/>
          <w:bCs/>
          <w:sz w:val="36"/>
          <w:szCs w:val="36"/>
        </w:rPr>
      </w:pPr>
      <w:r w:rsidRPr="00EA50E4">
        <w:rPr>
          <w:b/>
          <w:bCs/>
          <w:sz w:val="36"/>
          <w:szCs w:val="36"/>
        </w:rPr>
        <w:t>ПОСТАНОВЛЕНИЕ</w:t>
      </w:r>
    </w:p>
    <w:p w:rsidR="00923178" w:rsidRDefault="00923178" w:rsidP="0046075C"/>
    <w:p w:rsidR="00923178" w:rsidRDefault="00652E70" w:rsidP="0046075C">
      <w:r>
        <w:t>от «11» мая</w:t>
      </w:r>
      <w:r w:rsidR="00F42D37">
        <w:t xml:space="preserve"> 2023</w:t>
      </w:r>
      <w:r w:rsidR="00923178">
        <w:t xml:space="preserve"> года                                               </w:t>
      </w:r>
      <w:r w:rsidR="00F42D37">
        <w:t xml:space="preserve">                             № 11</w:t>
      </w:r>
    </w:p>
    <w:p w:rsidR="00923178" w:rsidRDefault="00923178" w:rsidP="00FC2FF0">
      <w:pPr>
        <w:jc w:val="both"/>
        <w:rPr>
          <w:sz w:val="28"/>
          <w:szCs w:val="28"/>
        </w:rPr>
      </w:pPr>
    </w:p>
    <w:p w:rsidR="00923178" w:rsidRPr="007B1866" w:rsidRDefault="00923178" w:rsidP="00FC2FF0">
      <w:pPr>
        <w:jc w:val="both"/>
        <w:rPr>
          <w:b/>
          <w:bCs/>
          <w:sz w:val="28"/>
          <w:szCs w:val="28"/>
        </w:rPr>
      </w:pPr>
      <w:r w:rsidRPr="007B1866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Реестра мест</w:t>
      </w:r>
      <w:r w:rsidRPr="007B1866">
        <w:rPr>
          <w:b/>
          <w:bCs/>
          <w:sz w:val="28"/>
          <w:szCs w:val="28"/>
        </w:rPr>
        <w:t xml:space="preserve"> </w:t>
      </w:r>
    </w:p>
    <w:p w:rsidR="00923178" w:rsidRDefault="00923178" w:rsidP="00FC2F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(площадок) накопления твердых</w:t>
      </w:r>
    </w:p>
    <w:p w:rsidR="00923178" w:rsidRDefault="00923178" w:rsidP="00FC2F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коммунальных отходов на территории </w:t>
      </w:r>
    </w:p>
    <w:p w:rsidR="00923178" w:rsidRDefault="00F42D37" w:rsidP="00FC2F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Нароватовского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923178">
        <w:rPr>
          <w:b/>
          <w:bCs/>
          <w:sz w:val="28"/>
          <w:szCs w:val="28"/>
        </w:rPr>
        <w:t xml:space="preserve"> сельского поселения</w:t>
      </w:r>
    </w:p>
    <w:p w:rsidR="00923178" w:rsidRPr="007B1866" w:rsidRDefault="00923178" w:rsidP="00FC2FF0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Тен</w:t>
      </w:r>
      <w:r w:rsidRPr="007B1866">
        <w:rPr>
          <w:b/>
          <w:bCs/>
          <w:sz w:val="28"/>
          <w:szCs w:val="28"/>
        </w:rPr>
        <w:t>ьгушевского</w:t>
      </w:r>
      <w:proofErr w:type="spellEnd"/>
      <w:r w:rsidRPr="007B1866">
        <w:rPr>
          <w:b/>
          <w:bCs/>
          <w:sz w:val="28"/>
          <w:szCs w:val="28"/>
        </w:rPr>
        <w:t xml:space="preserve"> муниципального района</w:t>
      </w:r>
    </w:p>
    <w:p w:rsidR="00923178" w:rsidRPr="007B1866" w:rsidRDefault="00923178" w:rsidP="00FC2FF0">
      <w:pPr>
        <w:jc w:val="both"/>
        <w:rPr>
          <w:b/>
          <w:bCs/>
          <w:sz w:val="28"/>
          <w:szCs w:val="28"/>
        </w:rPr>
      </w:pPr>
      <w:r w:rsidRPr="007B1866">
        <w:rPr>
          <w:b/>
          <w:bCs/>
          <w:sz w:val="28"/>
          <w:szCs w:val="28"/>
        </w:rPr>
        <w:t xml:space="preserve"> Республики Мордовия</w:t>
      </w:r>
    </w:p>
    <w:p w:rsidR="00923178" w:rsidRDefault="00923178" w:rsidP="00FC2FF0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923178" w:rsidRDefault="00923178" w:rsidP="00E91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</w:t>
      </w:r>
      <w:r w:rsidR="00F42D37">
        <w:rPr>
          <w:sz w:val="28"/>
          <w:szCs w:val="28"/>
        </w:rPr>
        <w:t>сийской Федерации», решение № 25  от 25.04.2022</w:t>
      </w:r>
      <w:r>
        <w:rPr>
          <w:sz w:val="28"/>
          <w:szCs w:val="28"/>
        </w:rPr>
        <w:t xml:space="preserve"> г. очередной сесс</w:t>
      </w:r>
      <w:r w:rsidR="00F42D37">
        <w:rPr>
          <w:sz w:val="28"/>
          <w:szCs w:val="28"/>
        </w:rPr>
        <w:t xml:space="preserve">ии Совета депутатов </w:t>
      </w:r>
      <w:proofErr w:type="spellStart"/>
      <w:r w:rsidR="00F42D37">
        <w:rPr>
          <w:sz w:val="28"/>
          <w:szCs w:val="28"/>
        </w:rPr>
        <w:t>Нароватовского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«Об утверждении Правил </w:t>
      </w:r>
      <w:r w:rsidR="00F42D37">
        <w:rPr>
          <w:sz w:val="28"/>
          <w:szCs w:val="28"/>
        </w:rPr>
        <w:t xml:space="preserve">благоустройства территории </w:t>
      </w:r>
      <w:proofErr w:type="spellStart"/>
      <w:r w:rsidR="00F42D37">
        <w:rPr>
          <w:sz w:val="28"/>
          <w:szCs w:val="28"/>
        </w:rPr>
        <w:t>Нароватовского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</w:t>
      </w:r>
      <w:r w:rsidR="00F42D37">
        <w:rPr>
          <w:sz w:val="28"/>
          <w:szCs w:val="28"/>
        </w:rPr>
        <w:t xml:space="preserve"> Мордовия», Уставом </w:t>
      </w:r>
      <w:proofErr w:type="spellStart"/>
      <w:r w:rsidR="00F42D37">
        <w:rPr>
          <w:sz w:val="28"/>
          <w:szCs w:val="28"/>
        </w:rPr>
        <w:t>Нароватовского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="00F42D37">
        <w:rPr>
          <w:sz w:val="28"/>
          <w:szCs w:val="28"/>
        </w:rPr>
        <w:t>Нароватовского</w:t>
      </w:r>
      <w:proofErr w:type="spellEnd"/>
      <w:r w:rsidR="00F42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23178" w:rsidRDefault="00923178" w:rsidP="00E9149D">
      <w:pPr>
        <w:ind w:firstLine="708"/>
        <w:jc w:val="both"/>
        <w:rPr>
          <w:sz w:val="28"/>
          <w:szCs w:val="28"/>
        </w:rPr>
      </w:pPr>
    </w:p>
    <w:p w:rsidR="00923178" w:rsidRDefault="00923178" w:rsidP="00702D7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923178" w:rsidRDefault="00923178" w:rsidP="00702D78">
      <w:pPr>
        <w:ind w:firstLine="708"/>
        <w:jc w:val="center"/>
        <w:rPr>
          <w:b/>
          <w:bCs/>
          <w:sz w:val="28"/>
          <w:szCs w:val="28"/>
        </w:rPr>
      </w:pPr>
    </w:p>
    <w:p w:rsidR="00923178" w:rsidRDefault="00923178" w:rsidP="00702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C82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Реестр мест (площадок) накопления твердых коммунальных от</w:t>
      </w:r>
      <w:r w:rsidR="00F42D37">
        <w:rPr>
          <w:sz w:val="28"/>
          <w:szCs w:val="28"/>
        </w:rPr>
        <w:t>ходов на территор</w:t>
      </w:r>
      <w:r w:rsidR="00652E70">
        <w:rPr>
          <w:sz w:val="28"/>
          <w:szCs w:val="28"/>
        </w:rPr>
        <w:t xml:space="preserve">ии </w:t>
      </w:r>
      <w:proofErr w:type="spellStart"/>
      <w:r w:rsidR="00652E70">
        <w:rPr>
          <w:sz w:val="28"/>
          <w:szCs w:val="28"/>
        </w:rPr>
        <w:t>Наро</w:t>
      </w:r>
      <w:r w:rsidR="00F42D37">
        <w:rPr>
          <w:sz w:val="28"/>
          <w:szCs w:val="28"/>
        </w:rPr>
        <w:t>в</w:t>
      </w:r>
      <w:r w:rsidR="00652E70">
        <w:rPr>
          <w:sz w:val="28"/>
          <w:szCs w:val="28"/>
        </w:rPr>
        <w:t>а</w:t>
      </w:r>
      <w:r w:rsidR="00F42D37"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на расстоянии не ближе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от окон и входов в жилые здания, предприятия торговли и общественного питания, детские дошкольные учреждения, школы </w:t>
      </w:r>
      <w:r w:rsidRPr="00E94C82">
        <w:rPr>
          <w:sz w:val="28"/>
          <w:szCs w:val="28"/>
        </w:rPr>
        <w:t>(прилагается).</w:t>
      </w:r>
    </w:p>
    <w:p w:rsidR="00923178" w:rsidRDefault="00923178" w:rsidP="00702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</w:t>
      </w:r>
      <w:r w:rsidR="00652E70">
        <w:rPr>
          <w:sz w:val="28"/>
          <w:szCs w:val="28"/>
        </w:rPr>
        <w:t>т в силу со дня подписания</w:t>
      </w:r>
      <w:r>
        <w:rPr>
          <w:sz w:val="28"/>
          <w:szCs w:val="28"/>
        </w:rPr>
        <w:t>.</w:t>
      </w:r>
    </w:p>
    <w:p w:rsidR="00923178" w:rsidRPr="00E94C82" w:rsidRDefault="00923178" w:rsidP="00E94C82">
      <w:pPr>
        <w:jc w:val="both"/>
        <w:rPr>
          <w:sz w:val="28"/>
          <w:szCs w:val="28"/>
        </w:rPr>
      </w:pPr>
    </w:p>
    <w:p w:rsidR="00923178" w:rsidRDefault="00923178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23178" w:rsidRDefault="00923178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42D37" w:rsidRDefault="00F42D37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главы  администрации</w:t>
      </w:r>
    </w:p>
    <w:p w:rsidR="00923178" w:rsidRDefault="00F42D37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Нароватовского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23178" w:rsidRDefault="00923178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Теньгушевского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 w:rsidR="00F42D37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proofErr w:type="spellStart"/>
      <w:r w:rsidR="00F42D37">
        <w:rPr>
          <w:rFonts w:ascii="Times New Roman" w:hAnsi="Times New Roman"/>
          <w:b/>
          <w:bCs/>
          <w:sz w:val="28"/>
          <w:szCs w:val="28"/>
        </w:rPr>
        <w:t>Т.Г.Буртасова</w:t>
      </w:r>
      <w:proofErr w:type="spellEnd"/>
    </w:p>
    <w:p w:rsidR="00923178" w:rsidRDefault="00923178" w:rsidP="00CE6365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23178" w:rsidRPr="00BA1554" w:rsidRDefault="00923178" w:rsidP="00BA1554">
      <w:pPr>
        <w:pStyle w:val="a5"/>
        <w:ind w:firstLine="0"/>
        <w:rPr>
          <w:rFonts w:ascii="Times New Roman" w:hAnsi="Times New Roman"/>
          <w:b/>
          <w:bCs/>
          <w:sz w:val="28"/>
          <w:szCs w:val="28"/>
        </w:rPr>
      </w:pPr>
      <w:r w:rsidRPr="007B1866">
        <w:t xml:space="preserve">                           </w:t>
      </w:r>
      <w:r>
        <w:t xml:space="preserve">                    </w:t>
      </w:r>
    </w:p>
    <w:p w:rsidR="00923178" w:rsidRDefault="00923178">
      <w:r>
        <w:lastRenderedPageBreak/>
        <w:t xml:space="preserve">                                                                                                Утверждаю</w:t>
      </w:r>
    </w:p>
    <w:p w:rsidR="00923178" w:rsidRDefault="00923178">
      <w:r>
        <w:t xml:space="preserve">                                                                        </w:t>
      </w:r>
      <w:r w:rsidR="00F42D37">
        <w:t xml:space="preserve">        </w:t>
      </w:r>
      <w:proofErr w:type="spellStart"/>
      <w:r w:rsidR="00F42D37">
        <w:t>и.о</w:t>
      </w:r>
      <w:proofErr w:type="gramStart"/>
      <w:r w:rsidR="00F42D37">
        <w:t>.г</w:t>
      </w:r>
      <w:proofErr w:type="gramEnd"/>
      <w:r w:rsidR="00F42D37">
        <w:t>лавы</w:t>
      </w:r>
      <w:proofErr w:type="spellEnd"/>
      <w:r w:rsidR="00F42D37">
        <w:t xml:space="preserve"> администрации</w:t>
      </w:r>
    </w:p>
    <w:p w:rsidR="00923178" w:rsidRDefault="00923178">
      <w:r>
        <w:t xml:space="preserve">                                                            </w:t>
      </w:r>
      <w:r w:rsidR="00F42D37">
        <w:t xml:space="preserve">                    </w:t>
      </w:r>
      <w:proofErr w:type="spellStart"/>
      <w:r w:rsidR="00F42D37">
        <w:t>Нароватовского</w:t>
      </w:r>
      <w:proofErr w:type="spellEnd"/>
      <w:r>
        <w:t xml:space="preserve"> сельского поселения</w:t>
      </w:r>
    </w:p>
    <w:p w:rsidR="00923178" w:rsidRDefault="00923178">
      <w:r>
        <w:t xml:space="preserve">                                                                               </w:t>
      </w:r>
      <w:proofErr w:type="spellStart"/>
      <w:r>
        <w:t>Теньгушевского</w:t>
      </w:r>
      <w:proofErr w:type="spellEnd"/>
      <w:r>
        <w:t xml:space="preserve"> муниципального района </w:t>
      </w:r>
    </w:p>
    <w:p w:rsidR="00923178" w:rsidRDefault="00923178">
      <w:r>
        <w:t xml:space="preserve">                                                                                Республики Мордовия</w:t>
      </w:r>
    </w:p>
    <w:p w:rsidR="00923178" w:rsidRDefault="00923178">
      <w:r>
        <w:t xml:space="preserve">                                                                                 ___________                  </w:t>
      </w:r>
      <w:proofErr w:type="spellStart"/>
      <w:r w:rsidR="00F42D37">
        <w:t>Буртасова</w:t>
      </w:r>
      <w:proofErr w:type="spellEnd"/>
      <w:r w:rsidR="00F42D37">
        <w:t xml:space="preserve"> Т.Г</w:t>
      </w:r>
      <w:r>
        <w:t>.</w:t>
      </w:r>
    </w:p>
    <w:p w:rsidR="00923178" w:rsidRDefault="00923178">
      <w:r>
        <w:t xml:space="preserve">                                                    </w:t>
      </w:r>
      <w:r w:rsidR="00652E70">
        <w:t xml:space="preserve">                             «11» мая 2023</w:t>
      </w:r>
      <w:r>
        <w:t xml:space="preserve"> г.</w:t>
      </w:r>
    </w:p>
    <w:p w:rsidR="00923178" w:rsidRDefault="00923178">
      <w:r>
        <w:t xml:space="preserve">                                                                            </w:t>
      </w:r>
    </w:p>
    <w:p w:rsidR="00923178" w:rsidRDefault="00923178"/>
    <w:p w:rsidR="00923178" w:rsidRDefault="00923178"/>
    <w:p w:rsidR="00923178" w:rsidRDefault="00923178">
      <w:r>
        <w:t xml:space="preserve">      Реестр мест (площадок)  накопления твердых коммунальных отходов</w:t>
      </w:r>
    </w:p>
    <w:p w:rsidR="00923178" w:rsidRDefault="00F42D37">
      <w:r>
        <w:t xml:space="preserve"> на территории </w:t>
      </w:r>
      <w:proofErr w:type="spellStart"/>
      <w:r>
        <w:t>Нароватовского</w:t>
      </w:r>
      <w:proofErr w:type="spellEnd"/>
      <w:r w:rsidR="00923178">
        <w:t xml:space="preserve"> сельского поселения </w:t>
      </w:r>
      <w:proofErr w:type="spellStart"/>
      <w:r w:rsidR="00923178">
        <w:t>Теньгушевского</w:t>
      </w:r>
      <w:proofErr w:type="spellEnd"/>
      <w:r w:rsidR="00923178">
        <w:t xml:space="preserve"> муниципального района Республики Мордовия</w:t>
      </w:r>
    </w:p>
    <w:p w:rsidR="00923178" w:rsidRDefault="00923178"/>
    <w:p w:rsidR="00923178" w:rsidRDefault="0092317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36"/>
        <w:gridCol w:w="910"/>
        <w:gridCol w:w="900"/>
        <w:gridCol w:w="1260"/>
        <w:gridCol w:w="1260"/>
        <w:gridCol w:w="1800"/>
      </w:tblGrid>
      <w:tr w:rsidR="00923178" w:rsidTr="00230A1D">
        <w:trPr>
          <w:trHeight w:val="584"/>
        </w:trPr>
        <w:tc>
          <w:tcPr>
            <w:tcW w:w="514" w:type="dxa"/>
            <w:vMerge w:val="restart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№</w:t>
            </w:r>
          </w:p>
          <w:p w:rsidR="00923178" w:rsidRPr="0009083B" w:rsidRDefault="00923178" w:rsidP="0009083B">
            <w:pPr>
              <w:rPr>
                <w:sz w:val="20"/>
                <w:szCs w:val="20"/>
              </w:rPr>
            </w:pPr>
            <w:r w:rsidRPr="0009083B">
              <w:rPr>
                <w:sz w:val="22"/>
                <w:szCs w:val="22"/>
              </w:rPr>
              <w:t>п/п</w:t>
            </w:r>
          </w:p>
        </w:tc>
        <w:tc>
          <w:tcPr>
            <w:tcW w:w="2536" w:type="dxa"/>
            <w:vMerge w:val="restart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Адрес площадок</w:t>
            </w:r>
          </w:p>
        </w:tc>
        <w:tc>
          <w:tcPr>
            <w:tcW w:w="6130" w:type="dxa"/>
            <w:gridSpan w:val="5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Данные о технических характеристиках мест(площадок) накопленных твердых коммунальных отходов</w:t>
            </w:r>
          </w:p>
        </w:tc>
      </w:tr>
      <w:tr w:rsidR="00923178" w:rsidTr="00326794">
        <w:trPr>
          <w:trHeight w:val="652"/>
        </w:trPr>
        <w:tc>
          <w:tcPr>
            <w:tcW w:w="514" w:type="dxa"/>
            <w:vMerge/>
          </w:tcPr>
          <w:p w:rsidR="00923178" w:rsidRDefault="00923178" w:rsidP="0009083B"/>
        </w:tc>
        <w:tc>
          <w:tcPr>
            <w:tcW w:w="2536" w:type="dxa"/>
            <w:vMerge/>
          </w:tcPr>
          <w:p w:rsidR="00923178" w:rsidRDefault="00923178" w:rsidP="0009083B"/>
        </w:tc>
        <w:tc>
          <w:tcPr>
            <w:tcW w:w="910" w:type="dxa"/>
          </w:tcPr>
          <w:p w:rsidR="00923178" w:rsidRPr="009E3F8B" w:rsidRDefault="00923178" w:rsidP="0009083B">
            <w:r w:rsidRPr="009E3F8B">
              <w:rPr>
                <w:sz w:val="22"/>
                <w:szCs w:val="22"/>
              </w:rPr>
              <w:t>Количество контейнеров</w:t>
            </w:r>
          </w:p>
        </w:tc>
        <w:tc>
          <w:tcPr>
            <w:tcW w:w="900" w:type="dxa"/>
          </w:tcPr>
          <w:p w:rsidR="00923178" w:rsidRPr="0009083B" w:rsidRDefault="00923178" w:rsidP="0009083B">
            <w:r w:rsidRPr="009E3F8B">
              <w:rPr>
                <w:sz w:val="22"/>
                <w:szCs w:val="22"/>
              </w:rPr>
              <w:t xml:space="preserve">Площадь </w:t>
            </w:r>
            <w:proofErr w:type="spellStart"/>
            <w:r w:rsidRPr="009E3F8B">
              <w:rPr>
                <w:sz w:val="22"/>
                <w:szCs w:val="22"/>
              </w:rPr>
              <w:t>кв.м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Тип подстилающей поверхности</w:t>
            </w:r>
          </w:p>
        </w:tc>
        <w:tc>
          <w:tcPr>
            <w:tcW w:w="1260" w:type="dxa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Вид площадок</w:t>
            </w:r>
          </w:p>
        </w:tc>
        <w:tc>
          <w:tcPr>
            <w:tcW w:w="1800" w:type="dxa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>Материал ограждения</w:t>
            </w:r>
          </w:p>
        </w:tc>
      </w:tr>
      <w:tr w:rsidR="00923178" w:rsidTr="00326794">
        <w:trPr>
          <w:trHeight w:val="1752"/>
        </w:trPr>
        <w:tc>
          <w:tcPr>
            <w:tcW w:w="514" w:type="dxa"/>
          </w:tcPr>
          <w:p w:rsidR="00923178" w:rsidRDefault="00923178" w:rsidP="0009083B">
            <w:r>
              <w:t>1</w:t>
            </w:r>
          </w:p>
        </w:tc>
        <w:tc>
          <w:tcPr>
            <w:tcW w:w="2536" w:type="dxa"/>
          </w:tcPr>
          <w:p w:rsidR="00923178" w:rsidRPr="0009083B" w:rsidRDefault="00923178" w:rsidP="0009083B">
            <w:r w:rsidRPr="0009083B">
              <w:rPr>
                <w:sz w:val="22"/>
                <w:szCs w:val="22"/>
              </w:rPr>
              <w:t xml:space="preserve">Республика Мордовия, </w:t>
            </w:r>
            <w:proofErr w:type="spellStart"/>
            <w:r w:rsidRPr="0009083B">
              <w:rPr>
                <w:sz w:val="22"/>
                <w:szCs w:val="22"/>
              </w:rPr>
              <w:t>Теньгушевский</w:t>
            </w:r>
            <w:proofErr w:type="spellEnd"/>
            <w:r w:rsidR="00F42D37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="00F42D37">
              <w:rPr>
                <w:sz w:val="22"/>
                <w:szCs w:val="22"/>
              </w:rPr>
              <w:t>с</w:t>
            </w:r>
            <w:proofErr w:type="gramStart"/>
            <w:r w:rsidR="00F42D37">
              <w:rPr>
                <w:sz w:val="22"/>
                <w:szCs w:val="22"/>
              </w:rPr>
              <w:t>.Н</w:t>
            </w:r>
            <w:proofErr w:type="gramEnd"/>
            <w:r w:rsidR="00F42D37">
              <w:rPr>
                <w:sz w:val="22"/>
                <w:szCs w:val="22"/>
              </w:rPr>
              <w:t>ароватово</w:t>
            </w:r>
            <w:proofErr w:type="spellEnd"/>
            <w:r w:rsidR="00F42D37">
              <w:rPr>
                <w:sz w:val="22"/>
                <w:szCs w:val="22"/>
              </w:rPr>
              <w:t xml:space="preserve">, </w:t>
            </w:r>
            <w:proofErr w:type="spellStart"/>
            <w:r w:rsidR="001B6261">
              <w:rPr>
                <w:sz w:val="22"/>
                <w:szCs w:val="22"/>
              </w:rPr>
              <w:t>ул.Садовая</w:t>
            </w:r>
            <w:proofErr w:type="spellEnd"/>
            <w:r w:rsidR="001B6261">
              <w:rPr>
                <w:sz w:val="22"/>
                <w:szCs w:val="22"/>
              </w:rPr>
              <w:t xml:space="preserve">, </w:t>
            </w:r>
            <w:proofErr w:type="spellStart"/>
            <w:r w:rsidR="001B6261">
              <w:rPr>
                <w:sz w:val="22"/>
                <w:szCs w:val="22"/>
              </w:rPr>
              <w:t>ул.Шмидта</w:t>
            </w:r>
            <w:proofErr w:type="spellEnd"/>
            <w:r w:rsidR="001B6261">
              <w:rPr>
                <w:sz w:val="22"/>
                <w:szCs w:val="22"/>
              </w:rPr>
              <w:t>, ул.1 Мая, ул. Молодежная, ул. Кирова, ул. Папанина.</w:t>
            </w:r>
          </w:p>
          <w:p w:rsidR="00923178" w:rsidRDefault="00923178" w:rsidP="0009083B"/>
        </w:tc>
        <w:tc>
          <w:tcPr>
            <w:tcW w:w="910" w:type="dxa"/>
          </w:tcPr>
          <w:p w:rsidR="00923178" w:rsidRPr="009E3F8B" w:rsidRDefault="00B416C6" w:rsidP="0009083B"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900" w:type="dxa"/>
          </w:tcPr>
          <w:p w:rsidR="00923178" w:rsidRPr="009E3F8B" w:rsidRDefault="001B6261" w:rsidP="0009083B"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23178" w:rsidRPr="00C60796" w:rsidRDefault="00923178" w:rsidP="0009083B">
            <w:r w:rsidRPr="00C60796">
              <w:rPr>
                <w:sz w:val="22"/>
                <w:szCs w:val="22"/>
              </w:rPr>
              <w:t>грунт</w:t>
            </w:r>
          </w:p>
        </w:tc>
        <w:tc>
          <w:tcPr>
            <w:tcW w:w="1260" w:type="dxa"/>
          </w:tcPr>
          <w:p w:rsidR="00923178" w:rsidRPr="00C60796" w:rsidRDefault="00923178" w:rsidP="0009083B">
            <w:r w:rsidRPr="00C60796">
              <w:rPr>
                <w:sz w:val="22"/>
                <w:szCs w:val="22"/>
              </w:rPr>
              <w:t>открытая</w:t>
            </w:r>
          </w:p>
        </w:tc>
        <w:tc>
          <w:tcPr>
            <w:tcW w:w="1800" w:type="dxa"/>
          </w:tcPr>
          <w:p w:rsidR="00923178" w:rsidRPr="00C60796" w:rsidRDefault="00923178" w:rsidP="0009083B">
            <w:r>
              <w:rPr>
                <w:sz w:val="22"/>
                <w:szCs w:val="22"/>
              </w:rPr>
              <w:t>б</w:t>
            </w:r>
            <w:r w:rsidRPr="00C60796">
              <w:rPr>
                <w:sz w:val="22"/>
                <w:szCs w:val="22"/>
              </w:rPr>
              <w:t>ез  ограждения</w:t>
            </w:r>
          </w:p>
        </w:tc>
      </w:tr>
    </w:tbl>
    <w:p w:rsidR="00923178" w:rsidRDefault="00923178"/>
    <w:sectPr w:rsidR="00923178" w:rsidSect="0045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1318"/>
    <w:multiLevelType w:val="hybridMultilevel"/>
    <w:tmpl w:val="869C7DA4"/>
    <w:lvl w:ilvl="0" w:tplc="4CF81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3F5"/>
    <w:rsid w:val="00002EB8"/>
    <w:rsid w:val="00011FE4"/>
    <w:rsid w:val="000230AE"/>
    <w:rsid w:val="00023FD7"/>
    <w:rsid w:val="00051416"/>
    <w:rsid w:val="00057644"/>
    <w:rsid w:val="00060945"/>
    <w:rsid w:val="00087541"/>
    <w:rsid w:val="0009083B"/>
    <w:rsid w:val="0009255F"/>
    <w:rsid w:val="000B7178"/>
    <w:rsid w:val="001163F5"/>
    <w:rsid w:val="00196B99"/>
    <w:rsid w:val="001A5A0D"/>
    <w:rsid w:val="001B6261"/>
    <w:rsid w:val="001E50F0"/>
    <w:rsid w:val="00215A25"/>
    <w:rsid w:val="00221C75"/>
    <w:rsid w:val="00230A1D"/>
    <w:rsid w:val="00244DE8"/>
    <w:rsid w:val="00256565"/>
    <w:rsid w:val="002A6A75"/>
    <w:rsid w:val="002B5F4B"/>
    <w:rsid w:val="002B6CC7"/>
    <w:rsid w:val="002F2A7D"/>
    <w:rsid w:val="002F7291"/>
    <w:rsid w:val="00323BDD"/>
    <w:rsid w:val="00326794"/>
    <w:rsid w:val="00332F82"/>
    <w:rsid w:val="00343B99"/>
    <w:rsid w:val="00347E4C"/>
    <w:rsid w:val="003556D7"/>
    <w:rsid w:val="0037600E"/>
    <w:rsid w:val="003809C0"/>
    <w:rsid w:val="003B68E2"/>
    <w:rsid w:val="003F55FE"/>
    <w:rsid w:val="0040558C"/>
    <w:rsid w:val="00451F18"/>
    <w:rsid w:val="0046075C"/>
    <w:rsid w:val="004736D6"/>
    <w:rsid w:val="004842AD"/>
    <w:rsid w:val="004A0F5B"/>
    <w:rsid w:val="004A1A59"/>
    <w:rsid w:val="004A3AB7"/>
    <w:rsid w:val="004D4404"/>
    <w:rsid w:val="004F17FA"/>
    <w:rsid w:val="004F2C8F"/>
    <w:rsid w:val="00537157"/>
    <w:rsid w:val="00540A15"/>
    <w:rsid w:val="0054166B"/>
    <w:rsid w:val="00544551"/>
    <w:rsid w:val="00581A88"/>
    <w:rsid w:val="00585AF5"/>
    <w:rsid w:val="00586782"/>
    <w:rsid w:val="00595701"/>
    <w:rsid w:val="00597FF7"/>
    <w:rsid w:val="005A17EC"/>
    <w:rsid w:val="005E7934"/>
    <w:rsid w:val="00611626"/>
    <w:rsid w:val="00624674"/>
    <w:rsid w:val="00652E70"/>
    <w:rsid w:val="00666ACC"/>
    <w:rsid w:val="00667D19"/>
    <w:rsid w:val="006B11A8"/>
    <w:rsid w:val="006C4BCE"/>
    <w:rsid w:val="006C5477"/>
    <w:rsid w:val="006F643D"/>
    <w:rsid w:val="00702D78"/>
    <w:rsid w:val="00743692"/>
    <w:rsid w:val="007437F4"/>
    <w:rsid w:val="00783C50"/>
    <w:rsid w:val="007864BD"/>
    <w:rsid w:val="0079662B"/>
    <w:rsid w:val="007A1EDD"/>
    <w:rsid w:val="007B1866"/>
    <w:rsid w:val="007E0C12"/>
    <w:rsid w:val="00806155"/>
    <w:rsid w:val="00806B30"/>
    <w:rsid w:val="00813672"/>
    <w:rsid w:val="008A45A8"/>
    <w:rsid w:val="008A7611"/>
    <w:rsid w:val="008A7780"/>
    <w:rsid w:val="008B6618"/>
    <w:rsid w:val="008E202E"/>
    <w:rsid w:val="0091174C"/>
    <w:rsid w:val="00923178"/>
    <w:rsid w:val="009575D8"/>
    <w:rsid w:val="00981179"/>
    <w:rsid w:val="00991B9C"/>
    <w:rsid w:val="009A491C"/>
    <w:rsid w:val="009A7E27"/>
    <w:rsid w:val="009B1879"/>
    <w:rsid w:val="009E0763"/>
    <w:rsid w:val="009E3F8B"/>
    <w:rsid w:val="00A12F54"/>
    <w:rsid w:val="00A340A0"/>
    <w:rsid w:val="00A52C5D"/>
    <w:rsid w:val="00A55E84"/>
    <w:rsid w:val="00A83DA1"/>
    <w:rsid w:val="00A83E88"/>
    <w:rsid w:val="00AB7886"/>
    <w:rsid w:val="00AE03F2"/>
    <w:rsid w:val="00B00737"/>
    <w:rsid w:val="00B36E47"/>
    <w:rsid w:val="00B416C6"/>
    <w:rsid w:val="00B56330"/>
    <w:rsid w:val="00B86C1B"/>
    <w:rsid w:val="00BA1554"/>
    <w:rsid w:val="00BE0268"/>
    <w:rsid w:val="00BE3B65"/>
    <w:rsid w:val="00BF3C41"/>
    <w:rsid w:val="00C142DD"/>
    <w:rsid w:val="00C14B08"/>
    <w:rsid w:val="00C42CFB"/>
    <w:rsid w:val="00C60796"/>
    <w:rsid w:val="00C74560"/>
    <w:rsid w:val="00C74808"/>
    <w:rsid w:val="00C9286E"/>
    <w:rsid w:val="00CE3426"/>
    <w:rsid w:val="00CE6365"/>
    <w:rsid w:val="00D3024F"/>
    <w:rsid w:val="00D468E7"/>
    <w:rsid w:val="00D55F3A"/>
    <w:rsid w:val="00D70EC0"/>
    <w:rsid w:val="00DA117B"/>
    <w:rsid w:val="00DE1472"/>
    <w:rsid w:val="00E0664C"/>
    <w:rsid w:val="00E06BFB"/>
    <w:rsid w:val="00E530FC"/>
    <w:rsid w:val="00E9149D"/>
    <w:rsid w:val="00E94C82"/>
    <w:rsid w:val="00EA50E4"/>
    <w:rsid w:val="00EC200A"/>
    <w:rsid w:val="00ED4594"/>
    <w:rsid w:val="00EF1EA1"/>
    <w:rsid w:val="00F3225B"/>
    <w:rsid w:val="00F32A7F"/>
    <w:rsid w:val="00F330E7"/>
    <w:rsid w:val="00F41E8D"/>
    <w:rsid w:val="00F42D37"/>
    <w:rsid w:val="00F61EFA"/>
    <w:rsid w:val="00F8244C"/>
    <w:rsid w:val="00F90079"/>
    <w:rsid w:val="00F90F87"/>
    <w:rsid w:val="00FC2FF0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C2FF0"/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FC2FF0"/>
    <w:rPr>
      <w:rFonts w:ascii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FC2FF0"/>
    <w:pPr>
      <w:ind w:firstLine="1080"/>
      <w:jc w:val="both"/>
    </w:pPr>
    <w:rPr>
      <w:rFonts w:ascii="Arial" w:eastAsia="Calibri" w:hAnsi="Arial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C2FF0"/>
    <w:rPr>
      <w:rFonts w:ascii="Arial" w:hAnsi="Arial" w:cs="Times New Roman"/>
      <w:sz w:val="24"/>
    </w:rPr>
  </w:style>
  <w:style w:type="paragraph" w:styleId="2">
    <w:name w:val="Body Text 2"/>
    <w:basedOn w:val="a"/>
    <w:link w:val="20"/>
    <w:uiPriority w:val="99"/>
    <w:semiHidden/>
    <w:rsid w:val="00FC2FF0"/>
    <w:pPr>
      <w:jc w:val="center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FC2FF0"/>
    <w:rPr>
      <w:rFonts w:ascii="Times New Roman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FC2FF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2FF0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FC2FF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C2FF0"/>
    <w:rPr>
      <w:rFonts w:ascii="Times New Roman" w:hAnsi="Times New Roman" w:cs="Times New Roman"/>
      <w:sz w:val="16"/>
      <w:lang w:eastAsia="ru-RU"/>
    </w:rPr>
  </w:style>
  <w:style w:type="paragraph" w:styleId="a7">
    <w:name w:val="Plain Text"/>
    <w:basedOn w:val="a"/>
    <w:link w:val="a8"/>
    <w:uiPriority w:val="99"/>
    <w:semiHidden/>
    <w:rsid w:val="00FC2FF0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FC2FF0"/>
    <w:rPr>
      <w:rFonts w:ascii="Courier New" w:hAnsi="Courier New" w:cs="Times New Roman"/>
      <w:sz w:val="20"/>
    </w:rPr>
  </w:style>
  <w:style w:type="character" w:customStyle="1" w:styleId="a9">
    <w:name w:val="Гипертекстовая ссылка"/>
    <w:uiPriority w:val="99"/>
    <w:rsid w:val="00FC2FF0"/>
    <w:rPr>
      <w:rFonts w:ascii="Times New Roman" w:hAnsi="Times New Roman"/>
      <w:color w:val="008000"/>
      <w:sz w:val="22"/>
    </w:rPr>
  </w:style>
  <w:style w:type="paragraph" w:styleId="aa">
    <w:name w:val="Balloon Text"/>
    <w:basedOn w:val="a"/>
    <w:link w:val="ab"/>
    <w:uiPriority w:val="99"/>
    <w:semiHidden/>
    <w:rsid w:val="00FC2FF0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C2FF0"/>
    <w:rPr>
      <w:rFonts w:ascii="Tahoma" w:hAnsi="Tahoma" w:cs="Times New Roman"/>
      <w:sz w:val="16"/>
      <w:lang w:eastAsia="ru-RU"/>
    </w:rPr>
  </w:style>
  <w:style w:type="paragraph" w:styleId="ac">
    <w:name w:val="List Paragraph"/>
    <w:basedOn w:val="a"/>
    <w:uiPriority w:val="99"/>
    <w:qFormat/>
    <w:rsid w:val="0046075C"/>
    <w:pPr>
      <w:ind w:left="720"/>
    </w:pPr>
  </w:style>
  <w:style w:type="table" w:styleId="ad">
    <w:name w:val="Table Grid"/>
    <w:basedOn w:val="a1"/>
    <w:uiPriority w:val="99"/>
    <w:locked/>
    <w:rsid w:val="00BE02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Теньгушевского района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Еддс</dc:creator>
  <cp:keywords/>
  <dc:description/>
  <cp:lastModifiedBy>Алексей</cp:lastModifiedBy>
  <cp:revision>37</cp:revision>
  <cp:lastPrinted>2023-07-27T08:05:00Z</cp:lastPrinted>
  <dcterms:created xsi:type="dcterms:W3CDTF">2021-05-14T12:22:00Z</dcterms:created>
  <dcterms:modified xsi:type="dcterms:W3CDTF">2023-07-27T08:05:00Z</dcterms:modified>
</cp:coreProperties>
</file>